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d424cb4f44fa42c4"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122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VALEA MOSTIȘTEI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Satul sănătos - facilitarea accesului la serviciile medicale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informaţiile menţionate cererea de finanţare corespund cu cele menţionate în documentul care atesta forma de organizare cat si datele de identificare ale reprezentantului legal. Se efectueaza verificarea conform EG 1 - Conditii generale de eligibilitate AFIR.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Investitia/activitatile sa se desfasoare in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terenul pe care se amplasează proiectul este înregistrat în domeniul public. Pentru ONG se verifică actul de proprietate iar în cazul Contractului de concesiune/delegare a administrării bunului imobil perioada de delegare a administrarii bunului imobil (minim 10 ani).În cazul contractelor de concesiune se verifică adresa emisă deconcendent din care să reiasă situaţia privind respectarea clauzelorcontractuale, realizarea investiţiilor prevăzute în contract şi alte clauze.În cazul în care solicitantul nu şi-a respectat obligaţiile contractuale sau nu deţine drept de folosinţă asupra imobilului concesionat inclusiv pe perioada de monitorizare, criteriul nu este indeplinit.De asemenea se verifică dacă investiția/activitatile se realizeză la nivelul microregiunii Valea Mostistei.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se angajează să asigure întreținerea/mentenanța investiției pe o perioadă de minim 5 ani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Hotărârea Consiliului Local (Hotărârile Consiliilor locale în cazul ADI)și/ sau Hotărârea Adunării Generale a ONG/ document echivalent specific fiecărei categorii de solicitant Actul/ Hotărârea organului de decizie al persoanei juridice proprietare privind implementarea proiectului.Se verificăHotărârile, cu referire la următoarele puncte (obligatorii):</w:t>
            </w:r>
          </w:p>
          <w:p>
            <w:pPr>
              <w:pStyle w:val="ListParagraph"/>
              <w:numPr>
                <w:ilvl w:val="0"/>
                <w:numId w:val="2"/>
              </w:numPr>
            </w:pPr>
            <w:r>
              <w:rPr>
                <w:rFonts w:ascii="Cambria" w:hAnsi="Cambria"/>
                <w:b w:val="false"/>
                <w:sz w:val="24"/>
              </w:rPr>
              <w:t>necesitatea, oportunitatea și potențialul economic al investiţiei;</w:t>
            </w:r>
          </w:p>
          <w:p>
            <w:pPr>
              <w:pStyle w:val="ListParagraph"/>
              <w:numPr>
                <w:ilvl w:val="0"/>
                <w:numId w:val="2"/>
              </w:numPr>
            </w:pPr>
            <w:r>
              <w:rPr>
                <w:rFonts w:ascii="Cambria" w:hAnsi="Cambria"/>
                <w:b w:val="false"/>
                <w:sz w:val="24"/>
              </w:rPr>
              <w:t>lucrările vor fi prevăzute în bugetul/ele local/e sau proprii pentru</w:t>
            </w:r>
          </w:p>
          <w:p>
            <w:r>
              <w:rPr>
                <w:rFonts w:ascii="Cambria" w:hAnsi="Cambria"/>
                <w:b w:val="false"/>
                <w:sz w:val="24"/>
              </w:rPr>
              <w:t>perioada de realizare a investiţiei;</w:t>
            </w:r>
          </w:p>
          <w:p>
            <w:pPr>
              <w:pStyle w:val="ListParagraph"/>
              <w:numPr>
                <w:ilvl w:val="0"/>
                <w:numId w:val="3"/>
              </w:numPr>
            </w:pPr>
            <w:r>
              <w:rPr>
                <w:rFonts w:ascii="Cambria" w:hAnsi="Cambria"/>
                <w:b w:val="false"/>
                <w:sz w:val="24"/>
              </w:rPr>
              <w:t>angajamentul de a asigura mentenanța investitiei, pe o perioadă de minimum 5 ani, de la data ultimei plăți;</w:t>
            </w:r>
          </w:p>
          <w:p>
            <w:pPr>
              <w:pStyle w:val="ListParagraph"/>
              <w:numPr>
                <w:ilvl w:val="0"/>
                <w:numId w:val="4"/>
              </w:numPr>
            </w:pPr>
            <w:r>
              <w:rPr>
                <w:rFonts w:ascii="Cambria" w:hAnsi="Cambria"/>
                <w:b w:val="false"/>
                <w:sz w:val="24"/>
              </w:rPr>
              <w:t>caracteristici tehnice ale investiției/investițiilor propuse (lungimi, arii, volume, capacităţi etc.);</w:t>
            </w:r>
          </w:p>
          <w:p>
            <w:pPr>
              <w:pStyle w:val="ListParagraph"/>
              <w:numPr>
                <w:ilvl w:val="0"/>
                <w:numId w:val="5"/>
              </w:numPr>
            </w:pPr>
            <w:r>
              <w:rPr>
                <w:rFonts w:ascii="Cambria" w:hAnsi="Cambria"/>
                <w:b w:val="false"/>
                <w:sz w:val="24"/>
              </w:rPr>
              <w:t>nominalizarea şi delegarea reprezentantului legal al solicitantului</w:t>
            </w:r>
          </w:p>
          <w:p>
            <w:r>
              <w:rPr>
                <w:rFonts w:ascii="Cambria" w:hAnsi="Cambria"/>
                <w:b w:val="false"/>
                <w:sz w:val="24"/>
              </w:rPr>
              <w:t>pentru relaţia cu AFIR în derularea proiectului.Declarația pe propria răspundere a solicitantului privind asigurareasustenabilității investiției, cu punctele obligatorii menționate pentrurealizarea investiţiei.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să se încadreze în tipul de sprijin prevăzut prin interventie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baza informațiilor din Cererea de Finanțare/MJ/SF/DALI, dacă investiția se încadrează în cel puțin unul din tipurile de sprijin prevăzute prin măsură.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Toate serviciile oferite prin aceste proiecte, fie ele în cadrul unei infrastructuri înființate/ dotate, fie în cadrul campaniilor implementate de către solicitanți vor fi gratuite și accesibile tuturor persoanelor din teritoriu, nediscriminatoriu pe baza niciunui criteriu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baza informațiilor din Cererea de Finanțare/MJ/SF/DALI, dacă solicitantul si-a asumat ca serviciile vor fi oferite gratuit si nediscriminatoriu.</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Pentru parteneriatele informale, aceastea trebuie sa fie constituite din minim 3 parteneri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Acordul de Parteneriat daca numarul partenerilor este  format din minim 3 entitati.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R.41PR-Ponderea populației rurale care beneficiază de un acces îmbunătățit la servicii și infrastructură prin intermediul sprijinului PAC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 Solicitantul va completa in cadrul cererii de finantare/SF/MJ/DALI/HCL, numarul populatie rurale care beneficiază de un acces îmbunătățit la servicii și infrastructură prin intermediul sprijinului PAC. Documente justificative: CF/SF/MJ/DALI/HCL.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Numărul de persoane care vor beneficia de activitățile/ rezultatele proiectului (fie capacitatea de deservire a unor investiții, fie grupul țintă al proiectului) raportat la populația totală a UAT/ UAT-urilor în care se implementează proiectul;</w:t>
            </w:r>
          </w:p>
        </w:tc>
        <w:tc>
          <w:tcPr>
            <w:shd w:val="clear" w:color="auto" w:fill="CCE1DB"/>
            <w:vAlign w:val="center"/>
          </w:tcPr>
          <w:p>
            <w:pPr>
              <w:spacing w:line="360" w:lineRule="auto"/>
              <w:ind w:left="0" w:right="0" w:firstLine="493"/>
            </w:pPr>
            <w:r>
              <w:rPr>
                <w:rFonts w:ascii="Cambria Bold" w:hAnsi="Cambria Bold"/>
                <w:b/>
                <w:color w:val="014935"/>
                <w:sz w:val="24"/>
              </w:rPr>
              <w:t>60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Procent de populatie deservita - peste 50% </w:t>
            </w:r>
          </w:p>
        </w:tc>
        <w:tc>
          <w:tcPr>
            <w:vAlign w:val="center"/>
          </w:tcPr>
          <w:p>
            <w:pPr>
              <w:keepNext/>
              <w:jc w:val="center"/>
            </w:pPr>
            <w:r>
              <w:rPr>
                <w:rFonts w:ascii="Cambria" w:hAnsi="Cambria"/>
                <w:b w:val="false"/>
                <w:sz w:val="24"/>
              </w:rPr>
              <w:t>60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proporția populației din UAT/UAT-urile în care se implementează proiectul care va beneficia direct de serviciile/investitiile proiectului.</w:t>
            </w:r>
          </w:p>
          <w:p>
            <w:pPr>
              <w:spacing w:line="360" w:lineRule="auto"/>
              <w:ind w:left="0" w:right="0" w:firstLine="493"/>
            </w:pPr>
            <w:r>
              <w:rPr>
                <w:rFonts w:ascii="Cambria" w:hAnsi="Cambria"/>
                <w:b w:val="false"/>
                <w:sz w:val="24"/>
              </w:rPr>
              <w:t>Populația va fi justificată prin date INS / Recensământ / evidența populației.</w:t>
            </w:r>
          </w:p>
          <w:p>
            <w:pPr>
              <w:spacing w:line="360" w:lineRule="auto"/>
              <w:ind w:left="0" w:right="0" w:firstLine="493"/>
            </w:pPr>
            <w:r>
              <w:rPr>
                <w:rFonts w:ascii="Cambria" w:hAnsi="Cambria"/>
                <w:b w:val="false"/>
                <w:sz w:val="24"/>
              </w:rPr>
              <w:t>Grad de acoperire=(număr estimat beneficiari direcți/an)/Populația totală UAT​×100</w:t>
            </w:r>
          </w:p>
          <w:p>
            <w:pPr>
              <w:spacing w:line="360" w:lineRule="auto"/>
              <w:ind w:left="0" w:right="0" w:firstLine="493"/>
            </w:pPr>
            <w:r>
              <w:rPr>
                <w:rFonts w:ascii="Cambria" w:hAnsi="Cambria"/>
                <w:b w:val="false"/>
                <w:sz w:val="24"/>
              </w:rPr>
              <w:t>Pentru dotări medicale:Se va utiliza capacitatea anuală estimată de deservire (număr pacienți/an), fundamentată prin: statistici anterioare ale unității medicale; normativ personal medical; program de funcționare</w:t>
            </w:r>
          </w:p>
          <w:p>
            <w:pPr>
              <w:spacing w:line="360" w:lineRule="auto"/>
              <w:ind w:left="0" w:right="0" w:firstLine="493"/>
            </w:pPr>
            <w:r>
              <w:rPr>
                <w:rFonts w:ascii="Cambria" w:hAnsi="Cambria"/>
                <w:b w:val="false"/>
                <w:sz w:val="24"/>
              </w:rPr>
              <w:t>Pentru proiecte de prevenție / screening:Se ia în calcul numărul estimat de persoane testate / consultate în perioada de implementare.</w:t>
            </w:r>
          </w:p>
          <w:p>
            <w:pPr>
              <w:spacing w:line="360" w:lineRule="auto"/>
              <w:ind w:left="0" w:right="0" w:firstLine="493"/>
            </w:pPr>
            <w:r>
              <w:rPr>
                <w:rFonts w:ascii="Cambria" w:hAnsi="Cambria"/>
                <w:b w:val="false"/>
                <w:sz w:val="24"/>
              </w:rPr>
              <w:t>Pentru campanii de informare:Se iau în considerare doar beneficiarii direcți (participanți documentați, persoane consiliate, persoane testate), nu întreaga populație expusă la materiale online.</w:t>
            </w:r>
          </w:p>
          <w:p>
            <w:pPr>
              <w:spacing w:line="360" w:lineRule="auto"/>
              <w:ind w:left="0" w:right="0" w:firstLine="493"/>
            </w:pPr>
            <w:r>
              <w:rPr>
                <w:rFonts w:ascii="Cambria" w:hAnsi="Cambria"/>
                <w:b w:val="false"/>
                <w:sz w:val="24"/>
              </w:rPr>
              <w:t>Populația totală va fi justificată prin date INS / Recensământ / evidența populației.</w:t>
            </w:r>
          </w:p>
          <w:p>
            <w:pPr>
              <w:spacing w:line="360" w:lineRule="auto"/>
              <w:ind w:left="0" w:right="0" w:firstLine="493"/>
            </w:pPr>
            <w:r>
              <w:rPr>
                <w:rFonts w:ascii="Cambria" w:hAnsi="Cambria"/>
                <w:b w:val="false"/>
                <w:sz w:val="24"/>
              </w:rPr>
              <w:t>În situația în care proiectul se încadrează pentru două sau mai multe actiuni, numărul beneficiarilor direcți se va cumula.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Procent de populatie deservita - intre 25% si 49,99%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proporția populației din UAT/UAT-urile în care se implementează proiectul care va beneficia direct de serviciile/investitiile proiectului.</w:t>
            </w:r>
          </w:p>
          <w:p>
            <w:pPr>
              <w:spacing w:line="360" w:lineRule="auto"/>
              <w:ind w:left="0" w:right="0" w:firstLine="493"/>
            </w:pPr>
            <w:r>
              <w:rPr>
                <w:rFonts w:ascii="Cambria" w:hAnsi="Cambria"/>
                <w:b w:val="false"/>
                <w:sz w:val="24"/>
              </w:rPr>
              <w:t>Populația va fi justificată prin date INS / Recensământ / evidența populației.</w:t>
            </w:r>
          </w:p>
          <w:p>
            <w:pPr>
              <w:spacing w:line="360" w:lineRule="auto"/>
              <w:ind w:left="0" w:right="0" w:firstLine="493"/>
            </w:pPr>
            <w:r>
              <w:rPr>
                <w:rFonts w:ascii="Cambria" w:hAnsi="Cambria"/>
                <w:b w:val="false"/>
                <w:sz w:val="24"/>
              </w:rPr>
              <w:t>Grad de acoperire=(număr estimat beneficiari direcți/an)/Populația totală UAT​×100</w:t>
            </w:r>
          </w:p>
          <w:p>
            <w:pPr>
              <w:spacing w:line="360" w:lineRule="auto"/>
              <w:ind w:left="0" w:right="0" w:firstLine="493"/>
            </w:pPr>
            <w:r>
              <w:rPr>
                <w:rFonts w:ascii="Cambria" w:hAnsi="Cambria"/>
                <w:b w:val="false"/>
                <w:sz w:val="24"/>
              </w:rPr>
              <w:t>Pentru dotări medicale:Se va utiliza capacitatea anuală estimată de deservire (număr pacienți/an), fundamentată prin: statistici anterioare ale unității medicale; normativ personal medical; program de funcționare</w:t>
            </w:r>
          </w:p>
          <w:p>
            <w:pPr>
              <w:spacing w:line="360" w:lineRule="auto"/>
              <w:ind w:left="0" w:right="0" w:firstLine="493"/>
            </w:pPr>
            <w:r>
              <w:rPr>
                <w:rFonts w:ascii="Cambria" w:hAnsi="Cambria"/>
                <w:b w:val="false"/>
                <w:sz w:val="24"/>
              </w:rPr>
              <w:t>Pentru proiecte de prevenție / screening:Se ia în calcul numărul estimat de persoane testate / consultate în perioada de implementare.</w:t>
            </w:r>
          </w:p>
          <w:p>
            <w:pPr>
              <w:spacing w:line="360" w:lineRule="auto"/>
              <w:ind w:left="0" w:right="0" w:firstLine="493"/>
            </w:pPr>
            <w:r>
              <w:rPr>
                <w:rFonts w:ascii="Cambria" w:hAnsi="Cambria"/>
                <w:b w:val="false"/>
                <w:sz w:val="24"/>
              </w:rPr>
              <w:t>Pentru campanii de informare:Se iau în considerare doar beneficiarii direcți (participanți documentați, persoane consiliate, persoane testate), nu întreaga populație expusă la materiale online.</w:t>
            </w:r>
          </w:p>
          <w:p>
            <w:pPr>
              <w:spacing w:line="360" w:lineRule="auto"/>
              <w:ind w:left="0" w:right="0" w:firstLine="493"/>
            </w:pPr>
            <w:r>
              <w:rPr>
                <w:rFonts w:ascii="Cambria" w:hAnsi="Cambria"/>
                <w:b w:val="false"/>
                <w:sz w:val="24"/>
              </w:rPr>
              <w:t>Populația totală va fi justificată prin date INS / Recensământ / evidența populației.</w:t>
            </w:r>
          </w:p>
          <w:p>
            <w:pPr>
              <w:spacing w:line="360" w:lineRule="auto"/>
              <w:ind w:left="0" w:right="0" w:firstLine="493"/>
            </w:pPr>
            <w:r>
              <w:rPr>
                <w:rFonts w:ascii="Cambria" w:hAnsi="Cambria"/>
                <w:b w:val="false"/>
                <w:sz w:val="24"/>
              </w:rPr>
              <w:t>În situația în care proiectul se încadrează pentru </w:t>
            </w:r>
            <w:r>
              <w:rPr>
                <w:rFonts w:ascii="Cambria" w:hAnsi="Cambria"/>
                <w:b w:val="false"/>
                <w:sz w:val="24"/>
              </w:rPr>
              <w:t>două sau mai multe actiuni</w:t>
            </w:r>
            <w:r>
              <w:rPr>
                <w:rFonts w:ascii="Cambria" w:hAnsi="Cambria"/>
                <w:b w:val="false"/>
                <w:sz w:val="24"/>
              </w:rPr>
              <w:t>, numărul beneficiarilor direcți se va </w:t>
            </w:r>
            <w:r>
              <w:rPr>
                <w:rFonts w:ascii="Cambria" w:hAnsi="Cambria"/>
                <w:b w:val="false"/>
                <w:sz w:val="24"/>
              </w:rPr>
              <w:t>cumula.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w:hAnsi="Cambria"/>
                <w:b w:val="false"/>
                <w:color w:val="58400C"/>
                <w:sz w:val="24"/>
              </w:rPr>
              <w:t>Procent de populatie deservita - intre 10% si 24,99%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proporția populației din UAT/UAT-urile în care se implementează proiectul care va beneficia direct de serviciile/investitiile proiectului.</w:t>
            </w:r>
          </w:p>
          <w:p>
            <w:pPr>
              <w:spacing w:line="360" w:lineRule="auto"/>
              <w:ind w:left="0" w:right="0" w:firstLine="493"/>
            </w:pPr>
            <w:r>
              <w:rPr>
                <w:rFonts w:ascii="Cambria" w:hAnsi="Cambria"/>
                <w:b w:val="false"/>
                <w:sz w:val="24"/>
              </w:rPr>
              <w:t>Populația va fi justificată prin date INS / Recensământ / evidența populației.</w:t>
            </w:r>
          </w:p>
          <w:p>
            <w:pPr>
              <w:spacing w:line="360" w:lineRule="auto"/>
              <w:ind w:left="0" w:right="0" w:firstLine="493"/>
            </w:pPr>
            <w:r>
              <w:rPr>
                <w:rFonts w:ascii="Cambria" w:hAnsi="Cambria"/>
                <w:b w:val="false"/>
                <w:sz w:val="24"/>
              </w:rPr>
              <w:t>Grad de acoperire=(număr estimat beneficiari direcți/an)/Populația totală UAT​×100</w:t>
            </w:r>
          </w:p>
          <w:p>
            <w:pPr>
              <w:spacing w:line="360" w:lineRule="auto"/>
              <w:ind w:left="0" w:right="0" w:firstLine="493"/>
            </w:pPr>
            <w:r>
              <w:rPr>
                <w:rFonts w:ascii="Cambria" w:hAnsi="Cambria"/>
                <w:b w:val="false"/>
                <w:sz w:val="24"/>
              </w:rPr>
              <w:t>Pentru dotări medicale:Se va utiliza capacitatea anuală estimată de deservire (număr pacienți/an), fundamentată prin: statistici anterioare ale unității medicale; normativ personal medical; program de funcționare</w:t>
            </w:r>
          </w:p>
          <w:p>
            <w:pPr>
              <w:spacing w:line="360" w:lineRule="auto"/>
              <w:ind w:left="0" w:right="0" w:firstLine="493"/>
            </w:pPr>
            <w:r>
              <w:rPr>
                <w:rFonts w:ascii="Cambria" w:hAnsi="Cambria"/>
                <w:b w:val="false"/>
                <w:sz w:val="24"/>
              </w:rPr>
              <w:t>Pentru proiecte de prevenție / screening:Se ia în calcul numărul estimat de persoane testate / consultate în perioada de implementare.</w:t>
            </w:r>
          </w:p>
          <w:p>
            <w:pPr>
              <w:spacing w:line="360" w:lineRule="auto"/>
              <w:ind w:left="0" w:right="0" w:firstLine="493"/>
            </w:pPr>
            <w:r>
              <w:rPr>
                <w:rFonts w:ascii="Cambria" w:hAnsi="Cambria"/>
                <w:b w:val="false"/>
                <w:sz w:val="24"/>
              </w:rPr>
              <w:t>Pentru campanii de informare:Se iau în considerare doar beneficiarii direcți (participanți documentați, persoane consiliate, persoane testate), nu întreaga populație expusă la materiale online.</w:t>
            </w:r>
          </w:p>
          <w:p>
            <w:pPr>
              <w:spacing w:line="360" w:lineRule="auto"/>
              <w:ind w:left="0" w:right="0" w:firstLine="493"/>
            </w:pPr>
            <w:r>
              <w:rPr>
                <w:rFonts w:ascii="Cambria" w:hAnsi="Cambria"/>
                <w:b w:val="false"/>
                <w:sz w:val="24"/>
              </w:rPr>
              <w:t>Populația totală va fi justificată prin date INS / Recensământ / evidența populației.</w:t>
            </w:r>
          </w:p>
          <w:p>
            <w:pPr>
              <w:spacing w:line="360" w:lineRule="auto"/>
              <w:ind w:left="0" w:right="0" w:firstLine="493"/>
            </w:pPr>
            <w:r>
              <w:rPr>
                <w:rFonts w:ascii="Cambria" w:hAnsi="Cambria"/>
                <w:b w:val="false"/>
                <w:sz w:val="24"/>
              </w:rPr>
              <w:t>În situația în care proiectul se încadrează pentru </w:t>
            </w:r>
            <w:r>
              <w:rPr>
                <w:rFonts w:ascii="Cambria" w:hAnsi="Cambria"/>
                <w:b w:val="false"/>
                <w:sz w:val="24"/>
              </w:rPr>
              <w:t>două sau mai multe actiuni</w:t>
            </w:r>
            <w:r>
              <w:rPr>
                <w:rFonts w:ascii="Cambria" w:hAnsi="Cambria"/>
                <w:b w:val="false"/>
                <w:sz w:val="24"/>
              </w:rPr>
              <w:t>, numărul beneficiarilor direcți se va </w:t>
            </w:r>
            <w:r>
              <w:rPr>
                <w:rFonts w:ascii="Cambria" w:hAnsi="Cambria"/>
                <w:b w:val="false"/>
                <w:sz w:val="24"/>
              </w:rPr>
              <w:t>cumula.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1.4.</w:t>
            </w:r>
          </w:p>
        </w:tc>
        <w:tc>
          <w:tcPr>
            <w:shd w:val="clear" w:color="auto" w:fill="F8ECD2"/>
            <w:vAlign w:val="center"/>
          </w:tcPr>
          <w:p>
            <w:r>
              <w:rPr>
                <w:rFonts w:ascii="Cambria" w:hAnsi="Cambria"/>
                <w:b w:val="false"/>
                <w:color w:val="58400C"/>
                <w:sz w:val="24"/>
              </w:rPr>
              <w:t>Procent de populatie deservita - intre 2% si 9,99%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proporția populației din UAT/UAT-urile în care se implementează proiectul care va beneficia direct de serviciile/investitiile proiectului.</w:t>
            </w:r>
          </w:p>
          <w:p>
            <w:pPr>
              <w:spacing w:line="360" w:lineRule="auto"/>
              <w:ind w:left="0" w:right="0" w:firstLine="493"/>
            </w:pPr>
            <w:r>
              <w:rPr>
                <w:rFonts w:ascii="Cambria" w:hAnsi="Cambria"/>
                <w:b w:val="false"/>
                <w:sz w:val="24"/>
              </w:rPr>
              <w:t>Populația va fi justificată prin date INS / Recensământ / evidența populației.</w:t>
            </w:r>
          </w:p>
          <w:p>
            <w:pPr>
              <w:spacing w:line="360" w:lineRule="auto"/>
              <w:ind w:left="0" w:right="0" w:firstLine="493"/>
            </w:pPr>
            <w:r>
              <w:rPr>
                <w:rFonts w:ascii="Cambria" w:hAnsi="Cambria"/>
                <w:b w:val="false"/>
                <w:sz w:val="24"/>
              </w:rPr>
              <w:t>Grad de acoperire=(număr estimat beneficiari direcți/an)/Populația totală UAT​×100</w:t>
            </w:r>
          </w:p>
          <w:p>
            <w:pPr>
              <w:spacing w:line="360" w:lineRule="auto"/>
              <w:ind w:left="0" w:right="0" w:firstLine="493"/>
            </w:pPr>
            <w:r>
              <w:rPr>
                <w:rFonts w:ascii="Cambria" w:hAnsi="Cambria"/>
                <w:b w:val="false"/>
                <w:sz w:val="24"/>
              </w:rPr>
              <w:t>Pentru dotări medicale:Se va utiliza capacitatea anuală estimată de deservire (număr pacienți/an), fundamentată prin: statistici anterioare ale unității medicale; normativ personal medical; program de funcționare</w:t>
            </w:r>
          </w:p>
          <w:p>
            <w:pPr>
              <w:spacing w:line="360" w:lineRule="auto"/>
              <w:ind w:left="0" w:right="0" w:firstLine="493"/>
            </w:pPr>
            <w:r>
              <w:rPr>
                <w:rFonts w:ascii="Cambria" w:hAnsi="Cambria"/>
                <w:b w:val="false"/>
                <w:sz w:val="24"/>
              </w:rPr>
              <w:t>Pentru proiecte de prevenție / screening:Se ia în calcul numărul estimat de persoane testate / consultate în perioada de implementare.</w:t>
            </w:r>
          </w:p>
          <w:p>
            <w:pPr>
              <w:spacing w:line="360" w:lineRule="auto"/>
              <w:ind w:left="0" w:right="0" w:firstLine="493"/>
            </w:pPr>
            <w:r>
              <w:rPr>
                <w:rFonts w:ascii="Cambria" w:hAnsi="Cambria"/>
                <w:b w:val="false"/>
                <w:sz w:val="24"/>
              </w:rPr>
              <w:t>Pentru campanii de informare:</w:t>
            </w:r>
            <w:r>
              <w:rPr>
                <w:rFonts w:ascii="Cambria" w:hAnsi="Cambria"/>
                <w:b w:val="false"/>
                <w:color w:val="000000"/>
                <w:sz w:val="24"/>
              </w:rPr>
              <w:t>Se iau în considerare doar beneficiarii direcți (participanți documentați, persoane consiliate, persoane testate), nu întreaga populație expusă la materiale online.</w:t>
            </w:r>
          </w:p>
          <w:p>
            <w:pPr>
              <w:spacing w:line="360" w:lineRule="auto"/>
              <w:ind w:left="0" w:right="0" w:firstLine="493"/>
            </w:pPr>
            <w:r>
              <w:rPr>
                <w:rFonts w:ascii="Cambria" w:hAnsi="Cambria"/>
                <w:b w:val="false"/>
                <w:sz w:val="24"/>
              </w:rPr>
              <w:t>Populația totală va fi justificată prin date INS / Recensământ / evidența populației.</w:t>
            </w:r>
          </w:p>
          <w:p>
            <w:pPr>
              <w:spacing w:line="360" w:lineRule="auto"/>
              <w:ind w:left="0" w:right="0" w:firstLine="493"/>
            </w:pPr>
            <w:r>
              <w:rPr>
                <w:rFonts w:ascii="Cambria" w:hAnsi="Cambria"/>
                <w:b w:val="false"/>
                <w:sz w:val="24"/>
              </w:rPr>
              <w:t>În situația în care proiectul se încadrează pentru </w:t>
            </w:r>
            <w:r>
              <w:rPr>
                <w:rFonts w:ascii="Cambria" w:hAnsi="Cambria"/>
                <w:b w:val="false"/>
                <w:sz w:val="24"/>
              </w:rPr>
              <w:t>două sau mai multe actiuni</w:t>
            </w:r>
            <w:r>
              <w:rPr>
                <w:rFonts w:ascii="Cambria" w:hAnsi="Cambria"/>
                <w:b w:val="false"/>
                <w:sz w:val="24"/>
              </w:rPr>
              <w:t>, numărul beneficiarilor direcți se va </w:t>
            </w:r>
            <w:r>
              <w:rPr>
                <w:rFonts w:ascii="Cambria" w:hAnsi="Cambria"/>
                <w:b w:val="false"/>
                <w:sz w:val="24"/>
              </w:rPr>
              <w:t>cumula.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Abordarea unor probleme cu care se confruntă grupurile vulnerabile/în risc de excluziune socială;</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Ponderea beneficiarilor apartinand grupurilor vulnerabile - peste 50%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proporția beneficiarilor direcți ai proiectului care fac parte din grupuri vulnerabile/în risc de excluziune socială, conform definițiilor naționale aplicabile.</w:t>
            </w:r>
          </w:p>
          <w:p>
            <w:pPr>
              <w:spacing w:line="360" w:lineRule="auto"/>
              <w:ind w:left="0" w:right="0" w:firstLine="493"/>
            </w:pPr>
            <w:r>
              <w:rPr>
                <w:rFonts w:ascii="Cambria" w:hAnsi="Cambria"/>
                <w:b w:val="false"/>
                <w:sz w:val="24"/>
              </w:rPr>
              <w:t>Modalitate de calcul: numar beneficiari vulnerabili/numarul beneficiarilor directi x100</w:t>
            </w:r>
          </w:p>
          <w:p>
            <w:pPr>
              <w:spacing w:line="360" w:lineRule="auto"/>
              <w:ind w:left="0" w:right="0" w:firstLine="493"/>
            </w:pPr>
            <w:r>
              <w:rPr>
                <w:rFonts w:ascii="Cambria" w:hAnsi="Cambria"/>
                <w:b w:val="false"/>
                <w:sz w:val="24"/>
              </w:rPr>
              <w:t>Masuri orientative pentru facilitarea accesului grupurilor vulnerabile la servicii:  servicii gratuite / decontate;  caravane medicale / unități mobile; consiliere personalizată;  materiale informative adaptate (limbaj simplu);  parteneriate cu asistenți sociali / mediatori sanitari;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Ponderea beneficiarilor apartinand grupurilor vulnerabile - peste 30% si 49,99%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proporția beneficiarilor direcți ai proiectului care fac parte din grupuri vulnerabile/în risc de excluziune socială, conform definițiilor naționale aplicabile.</w:t>
            </w:r>
          </w:p>
          <w:p>
            <w:pPr>
              <w:spacing w:line="360" w:lineRule="auto"/>
              <w:ind w:left="0" w:right="0" w:firstLine="493"/>
            </w:pPr>
            <w:r>
              <w:rPr>
                <w:rFonts w:ascii="Cambria" w:hAnsi="Cambria"/>
                <w:b w:val="false"/>
                <w:sz w:val="24"/>
              </w:rPr>
              <w:t>Modalitate de calcul: numar beneficiari vulnerabili/numarul beneficiarilor directi x100</w:t>
            </w:r>
          </w:p>
          <w:p>
            <w:pPr>
              <w:spacing w:line="360" w:lineRule="auto"/>
              <w:ind w:left="0" w:right="0" w:firstLine="493"/>
            </w:pPr>
            <w:r>
              <w:rPr>
                <w:rFonts w:ascii="Cambria" w:hAnsi="Cambria"/>
                <w:b w:val="false"/>
                <w:sz w:val="24"/>
              </w:rPr>
              <w:t>Masuri orientative pentru facilitarea accesului grupurilor vulnerabile la servicii:  servicii gratuite / decontate;  caravane medicale / unități mobile; consiliere personalizată;  materiale informative adaptate (limbaj simplu);  parteneriate cu asistenți sociali / mediatori sanitari; etc.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contribuie concret la combaterea segregării (de orice tip)</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Proiectul include măsuri concrete și cuantificabile care reduc segregarea în accesul la servicii medicale, susținute prin date (analiză de nevoi, statistici locale, documente oficiale), și prevede indicatori de rezultat clari.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proiectele de investiții în infrastructura sau dotarea serviciilor medicale care includ măsuri concrete, fundamentate prin analiză de nevoi, ce contribuie la reducerea segregării teritoriale, sociale, economice sau de alt tip în accesul la servicii de sănătate, în special pentru grupurile vulnerabile sau comunitățile marginalizate.,</w:t>
            </w:r>
          </w:p>
          <w:p>
            <w:pPr>
              <w:spacing w:line="360" w:lineRule="auto"/>
              <w:ind w:left="0" w:right="0" w:firstLine="493"/>
            </w:pPr>
            <w:r>
              <w:rPr>
                <w:rFonts w:ascii="Cambria" w:hAnsi="Cambria"/>
                <w:b w:val="false"/>
                <w:sz w:val="24"/>
              </w:rPr>
              <w:t>Exemple de măsuri care pot justifica punctarea acestui criteriu: amplasarea investiției într-o zonă care deservește inclusiv comunități marginalizate sau izolate;  dotarea unității medicale astfel încât să asigure servicii accesibile tuturor (inclusiv persoane cu dizabilități – eliminarea barierelor arhitecturale); organizarea serviciilor fără separare pe criterii etnice, sociale sau economice; implementarea unor programe de informare/mediere sanitară pentru populații vulnerabile; creșterea numărului estimat de beneficiari proveniți din grupuri în risc de excluziune; introducerea unor servicii medicale inexistente anterior în zone slab deservite.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 Proiectul îmbunătățește accesul la servicii medicale, dar fără a demonstra în mod clar impactul asupra reducerii segregării sau fără date justificative.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punctează proiectele de investiții în infrastructura sau dotarea serviciilor medicale care includ măsuri concrete, fundamentate prin analiză de nevoi, ce contribuie la reducerea segregării teritoriale, sociale, economice sau de alt tip în accesul la servicii de sănătate, în special pentru grupurile vulnerabile sau comunitățile marginalizate.,</w:t>
            </w:r>
          </w:p>
          <w:p>
            <w:pPr>
              <w:spacing w:line="360" w:lineRule="auto"/>
              <w:ind w:left="0" w:right="0" w:firstLine="493"/>
            </w:pPr>
            <w:r>
              <w:rPr>
                <w:rFonts w:ascii="Cambria" w:hAnsi="Cambria"/>
                <w:b w:val="false"/>
                <w:sz w:val="24"/>
              </w:rPr>
              <w:t>Exemple de măsuri care pot justifica punctarea acestui criteriu: amplasarea investiției într-o zonă care deservește inclusiv comunități marginalizate sau izolate;  dotarea unității medicale astfel încât să asigure servicii accesibile tuturor (inclusiv persoane cu dizabilități – eliminarea barierelor arhitecturale); organizarea serviciilor fără separare pe criterii etnice, sociale sau economice; implementarea unor programe de informare/mediere sanitară pentru populații vulnerabile; creșterea numărului estimat de beneficiari proveniți din grupuri în risc de excluziune; introducerea unor servicii medicale inexistente anterior în zone slab deservite.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Proiectele depuse in parteneriat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Vor avea prioritate proiectele depuse in parteneriat.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Aria teritoriala de acoperire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Daca departajarea nu poate fi facuta tinand cont de primul creiteriu de departajare, va fi prioritar proiectul care deservește un numar mai mare de UAT-uri.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Numarul beneficiarilor directi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situația în care proiectele nu se pot departaja tinand cont de primele doua criterii, se va acorda prioritate proiectului care estimează cel mai mare numar de beneficiari directi, în condițiile în care estimarea este fundamentată și proporțională cu populația UAT/UAT-urilor deservite.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4</w:t>
            </w:r>
          </w:p>
        </w:tc>
        <w:tc>
          <w:tcPr>
            <w:shd w:val="clear" w:color="auto" w:fill="F8ECD2"/>
            <w:vAlign w:val="center"/>
          </w:tcPr>
          <w:p>
            <w:r>
              <w:rPr>
                <w:rFonts w:ascii="Cambria" w:hAnsi="Cambria"/>
                <w:b w:val="false"/>
                <w:color w:val="58400C"/>
                <w:sz w:val="24"/>
              </w:rPr>
              <w:t>Vlaoarea sprijinului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ordinea crescătoare a sprijinului solicitat (prioritar proiectele cu valoare mai mica).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d54f8e9986614a00" /><Relationship Type="http://schemas.openxmlformats.org/officeDocument/2006/relationships/numbering" Target="/word/numbering.xml" Id="R9a28571dc1054105" /></Relationships>
</file>